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792E3A" w14:textId="2D08A73F" w:rsidR="0050655F" w:rsidRPr="001C5A8E" w:rsidRDefault="001765E1" w:rsidP="00BA4D8D">
      <w:pPr>
        <w:pStyle w:val="Title"/>
      </w:pPr>
      <w:r>
        <w:t>Plants</w:t>
      </w:r>
      <w:r w:rsidR="00C45843">
        <w:t>:</w:t>
      </w:r>
      <w:r>
        <w:t xml:space="preserve"> </w:t>
      </w:r>
      <w:r w:rsidR="00B60915" w:rsidRPr="00B60915">
        <w:t>Natural Products and</w:t>
      </w:r>
      <w:r w:rsidR="00B60915">
        <w:t xml:space="preserve"> </w:t>
      </w:r>
      <w:r w:rsidR="00B60915" w:rsidRPr="00B60915">
        <w:t xml:space="preserve">Chemical Space </w:t>
      </w:r>
    </w:p>
    <w:p w14:paraId="129122F0" w14:textId="77777777" w:rsidR="00FA085D" w:rsidRPr="003B3C67" w:rsidRDefault="00FA085D" w:rsidP="00FA085D">
      <w:pPr>
        <w:pStyle w:val="Subtitle"/>
      </w:pPr>
      <w:r>
        <w:t xml:space="preserve">Hassan Haydar </w:t>
      </w:r>
      <w:r w:rsidRPr="00A97233">
        <w:t>02.12.2025</w:t>
      </w:r>
    </w:p>
    <w:p w14:paraId="79D12CB7" w14:textId="2614EA81" w:rsidR="00EF0AE1" w:rsidRPr="004E7F62" w:rsidRDefault="003929BC" w:rsidP="004E7F62">
      <w:pPr>
        <w:pStyle w:val="Heading1"/>
      </w:pPr>
      <w:r>
        <w:t>Introduction</w:t>
      </w:r>
    </w:p>
    <w:p w14:paraId="7D22EA88" w14:textId="088F666F" w:rsidR="00E65D02" w:rsidRPr="004C01CB" w:rsidRDefault="00EF0AE1" w:rsidP="00922D4E">
      <w:pPr>
        <w:jc w:val="both"/>
        <w:rPr>
          <w:color w:val="595959" w:themeColor="text1" w:themeTint="A6"/>
        </w:rPr>
      </w:pPr>
      <w:r w:rsidRPr="00EF0AE1">
        <w:t xml:space="preserve">Natural products are structurally diverse metabolites central to plant function </w:t>
      </w:r>
      <w:r w:rsidR="00892073">
        <w:t>and important in medicine, nutrition</w:t>
      </w:r>
      <w:r w:rsidR="00244FFF">
        <w:t>, and biotechnology</w:t>
      </w:r>
      <w:r w:rsidRPr="00EF0AE1">
        <w:t xml:space="preserve">. </w:t>
      </w:r>
      <w:r w:rsidR="00412022">
        <w:t>The</w:t>
      </w:r>
      <w:r w:rsidRPr="00EF0AE1">
        <w:t xml:space="preserve"> metabolite data</w:t>
      </w:r>
      <w:r w:rsidR="00412022">
        <w:t xml:space="preserve"> set</w:t>
      </w:r>
      <w:r w:rsidRPr="00EF0AE1">
        <w:t xml:space="preserve"> from Walker et al. (2023)</w:t>
      </w:r>
      <w:r w:rsidR="004C01CB" w:rsidRPr="004C01CB">
        <w:rPr>
          <w:color w:val="0070C0"/>
          <w:vertAlign w:val="superscript"/>
        </w:rPr>
        <w:t xml:space="preserve"> </w:t>
      </w:r>
      <w:r w:rsidR="004C01CB" w:rsidRPr="00BC0675">
        <w:rPr>
          <w:color w:val="0070C0"/>
          <w:vertAlign w:val="superscript"/>
        </w:rPr>
        <w:t>[</w:t>
      </w:r>
      <w:r w:rsidR="004C01CB">
        <w:rPr>
          <w:color w:val="0070C0"/>
          <w:vertAlign w:val="superscript"/>
        </w:rPr>
        <w:t>1</w:t>
      </w:r>
      <w:r w:rsidR="004C01CB" w:rsidRPr="00BC0675">
        <w:rPr>
          <w:color w:val="0070C0"/>
          <w:vertAlign w:val="superscript"/>
        </w:rPr>
        <w:t>]</w:t>
      </w:r>
      <w:r w:rsidRPr="00EF0AE1">
        <w:t>,</w:t>
      </w:r>
      <w:r w:rsidR="007C1E7D" w:rsidRPr="007C1E7D">
        <w:t xml:space="preserve"> originally used to explore how metabolic traits relate to plant form and function</w:t>
      </w:r>
      <w:r w:rsidR="002176F8">
        <w:t xml:space="preserve">, </w:t>
      </w:r>
      <w:r w:rsidR="002176F8" w:rsidRPr="002176F8">
        <w:t>captures a wide range of metabolite structural diversity</w:t>
      </w:r>
      <w:r w:rsidR="00730057">
        <w:t xml:space="preserve">. </w:t>
      </w:r>
      <w:r w:rsidR="002176F8">
        <w:t>T</w:t>
      </w:r>
      <w:r w:rsidR="00730057">
        <w:t>his</w:t>
      </w:r>
      <w:r w:rsidRPr="00EF0AE1">
        <w:t xml:space="preserve"> analysis investigates whether major natural-product families (</w:t>
      </w:r>
      <w:proofErr w:type="spellStart"/>
      <w:r w:rsidRPr="00EF0AE1">
        <w:t>NPClassifier</w:t>
      </w:r>
      <w:proofErr w:type="spellEnd"/>
      <w:r w:rsidRPr="00EF0AE1">
        <w:t xml:space="preserve"> subclasses) show distinct chemical properties. I focus on three key descriptors</w:t>
      </w:r>
      <w:r w:rsidR="00D10107">
        <w:t xml:space="preserve">: </w:t>
      </w:r>
      <w:r w:rsidRPr="00EF0AE1">
        <w:t xml:space="preserve">TPSA (polarity), </w:t>
      </w:r>
      <w:proofErr w:type="spellStart"/>
      <w:r w:rsidRPr="00EF0AE1">
        <w:t>LogP</w:t>
      </w:r>
      <w:proofErr w:type="spellEnd"/>
      <w:r w:rsidRPr="00EF0AE1">
        <w:t xml:space="preserve"> (lipophilicity), and FractionCSP3 (carbon saturation)</w:t>
      </w:r>
      <w:r w:rsidR="00730057">
        <w:t xml:space="preserve"> </w:t>
      </w:r>
      <w:r w:rsidRPr="00EF0AE1">
        <w:t xml:space="preserve">calculated with </w:t>
      </w:r>
      <w:proofErr w:type="spellStart"/>
      <w:r w:rsidRPr="00EF0AE1">
        <w:t>RDKit</w:t>
      </w:r>
      <w:proofErr w:type="spellEnd"/>
      <w:r w:rsidRPr="00EF0AE1">
        <w:t xml:space="preserve">. By comparing </w:t>
      </w:r>
      <w:r w:rsidR="00C76FF0">
        <w:t xml:space="preserve">these descriptors and </w:t>
      </w:r>
      <w:r w:rsidRPr="00EF0AE1">
        <w:t>applying PCA, I examine how subclasses differ in polarity and saturation and whether they occupy distinct regions of chemical space.</w:t>
      </w:r>
    </w:p>
    <w:p w14:paraId="34044E49" w14:textId="47125A09" w:rsidR="0036717F" w:rsidRPr="003947A2" w:rsidRDefault="003929BC" w:rsidP="003947A2">
      <w:pPr>
        <w:pStyle w:val="Heading1"/>
      </w:pPr>
      <w:r>
        <w:t>Methods</w:t>
      </w:r>
    </w:p>
    <w:p w14:paraId="506E0F71" w14:textId="3DAFB3EF" w:rsidR="00096654" w:rsidRPr="00E660E9" w:rsidRDefault="00AE5469" w:rsidP="000F271F">
      <w:pPr>
        <w:jc w:val="both"/>
        <w:rPr>
          <w:color w:val="000000" w:themeColor="text1"/>
        </w:rPr>
      </w:pPr>
      <w:r w:rsidRPr="00AE5469">
        <w:rPr>
          <w:color w:val="000000" w:themeColor="text1"/>
        </w:rPr>
        <w:t xml:space="preserve">The </w:t>
      </w:r>
      <w:r w:rsidR="0036438F">
        <w:rPr>
          <w:color w:val="000000" w:themeColor="text1"/>
        </w:rPr>
        <w:t>file</w:t>
      </w:r>
      <w:r w:rsidRPr="00AE5469">
        <w:rPr>
          <w:color w:val="000000" w:themeColor="text1"/>
        </w:rPr>
        <w:t> </w:t>
      </w:r>
      <w:proofErr w:type="spellStart"/>
      <w:r w:rsidRPr="00AE5469">
        <w:rPr>
          <w:i/>
          <w:iCs/>
          <w:color w:val="000000" w:themeColor="text1"/>
        </w:rPr>
        <w:t>mtbs_tropical_annotations.tsv</w:t>
      </w:r>
      <w:proofErr w:type="spellEnd"/>
      <w:r w:rsidRPr="00AE5469">
        <w:rPr>
          <w:color w:val="000000" w:themeColor="text1"/>
        </w:rPr>
        <w:t xml:space="preserve"> from </w:t>
      </w:r>
      <w:r w:rsidRPr="00950745">
        <w:rPr>
          <w:i/>
          <w:iCs/>
          <w:color w:val="000000" w:themeColor="text1"/>
        </w:rPr>
        <w:t>Walker et al. (2023)</w:t>
      </w:r>
      <w:r w:rsidR="00BC0675" w:rsidRPr="00BC0675">
        <w:rPr>
          <w:color w:val="0070C0"/>
          <w:vertAlign w:val="superscript"/>
        </w:rPr>
        <w:t xml:space="preserve"> [</w:t>
      </w:r>
      <w:r w:rsidR="00BC0675">
        <w:rPr>
          <w:color w:val="0070C0"/>
          <w:vertAlign w:val="superscript"/>
        </w:rPr>
        <w:t>1</w:t>
      </w:r>
      <w:r w:rsidR="00BC0675" w:rsidRPr="00BC0675">
        <w:rPr>
          <w:color w:val="0070C0"/>
          <w:vertAlign w:val="superscript"/>
        </w:rPr>
        <w:t>]</w:t>
      </w:r>
      <w:r w:rsidRPr="00AE5469">
        <w:rPr>
          <w:color w:val="000000" w:themeColor="text1"/>
        </w:rPr>
        <w:t xml:space="preserve"> was imported into Python</w:t>
      </w:r>
      <w:r w:rsidR="0026650C">
        <w:rPr>
          <w:color w:val="000000" w:themeColor="text1"/>
        </w:rPr>
        <w:t xml:space="preserve"> </w:t>
      </w:r>
      <w:r w:rsidR="00C7737F" w:rsidRPr="00C7737F">
        <w:rPr>
          <w:color w:val="000000" w:themeColor="text1"/>
        </w:rPr>
        <w:t xml:space="preserve">and </w:t>
      </w:r>
      <w:proofErr w:type="spellStart"/>
      <w:r w:rsidR="00C7737F" w:rsidRPr="00C7737F">
        <w:rPr>
          <w:color w:val="000000" w:themeColor="text1"/>
        </w:rPr>
        <w:t>NPClassifier</w:t>
      </w:r>
      <w:proofErr w:type="spellEnd"/>
      <w:r w:rsidR="00C7737F" w:rsidRPr="00C7737F">
        <w:rPr>
          <w:color w:val="000000" w:themeColor="text1"/>
        </w:rPr>
        <w:t xml:space="preserve"> annotations together with the SMILES structures were retained</w:t>
      </w:r>
      <w:r w:rsidR="0026650C" w:rsidRPr="00C7737F">
        <w:rPr>
          <w:color w:val="000000" w:themeColor="text1"/>
        </w:rPr>
        <w:t>.</w:t>
      </w:r>
      <w:r w:rsidR="0026650C" w:rsidRPr="0026650C">
        <w:rPr>
          <w:color w:val="000000" w:themeColor="text1"/>
        </w:rPr>
        <w:t xml:space="preserve"> All entries lacking a valid SMILES were removed. Molecules sharing the same SMILES were identified and collapsed by grouping on the SMILES string and selecting the most common NPClassifier annotations (“class”, “subclass”, “my_class”). Column names were simplified for convenience, and each unique structure was assigned a structural ID (SID).</w:t>
      </w:r>
      <w:r w:rsidR="00B10BF2">
        <w:rPr>
          <w:color w:val="000000" w:themeColor="text1"/>
        </w:rPr>
        <w:t xml:space="preserve"> </w:t>
      </w:r>
      <w:r w:rsidR="0005043A" w:rsidRPr="00E660E9">
        <w:rPr>
          <w:color w:val="000000" w:themeColor="text1"/>
        </w:rPr>
        <w:t xml:space="preserve">Only the top 10 most frequent </w:t>
      </w:r>
      <w:proofErr w:type="spellStart"/>
      <w:r w:rsidR="0005043A" w:rsidRPr="00E660E9">
        <w:rPr>
          <w:color w:val="000000" w:themeColor="text1"/>
        </w:rPr>
        <w:t>NPClassifier</w:t>
      </w:r>
      <w:proofErr w:type="spellEnd"/>
      <w:r w:rsidR="0005043A" w:rsidRPr="00E660E9">
        <w:rPr>
          <w:color w:val="000000" w:themeColor="text1"/>
        </w:rPr>
        <w:t xml:space="preserve"> subclasses were included to maintain readability</w:t>
      </w:r>
      <w:r w:rsidR="00B10BF2">
        <w:rPr>
          <w:color w:val="000000" w:themeColor="text1"/>
        </w:rPr>
        <w:t xml:space="preserve">. </w:t>
      </w:r>
      <w:r w:rsidR="0026650C" w:rsidRPr="0026650C">
        <w:rPr>
          <w:color w:val="000000" w:themeColor="text1"/>
        </w:rPr>
        <w:t xml:space="preserve">For every unique </w:t>
      </w:r>
      <w:r w:rsidR="00180F45" w:rsidRPr="0026650C">
        <w:rPr>
          <w:color w:val="000000" w:themeColor="text1"/>
        </w:rPr>
        <w:t xml:space="preserve">SMILES, </w:t>
      </w:r>
      <w:r w:rsidR="00180F45" w:rsidRPr="00CA567D">
        <w:rPr>
          <w:color w:val="000000" w:themeColor="text1"/>
        </w:rPr>
        <w:t>a</w:t>
      </w:r>
      <w:r w:rsidR="00CA567D" w:rsidRPr="00CA567D">
        <w:rPr>
          <w:color w:val="000000" w:themeColor="text1"/>
        </w:rPr>
        <w:t xml:space="preserve"> set of basic molecular descriptors</w:t>
      </w:r>
      <w:r w:rsidR="00E1169B">
        <w:rPr>
          <w:color w:val="000000" w:themeColor="text1"/>
        </w:rPr>
        <w:t xml:space="preserve"> was calculated</w:t>
      </w:r>
      <w:r w:rsidR="00CA567D" w:rsidRPr="00CA567D">
        <w:rPr>
          <w:color w:val="000000" w:themeColor="text1"/>
        </w:rPr>
        <w:t xml:space="preserve"> using </w:t>
      </w:r>
      <w:proofErr w:type="spellStart"/>
      <w:r w:rsidR="00CA567D" w:rsidRPr="00CA567D">
        <w:rPr>
          <w:color w:val="000000" w:themeColor="text1"/>
        </w:rPr>
        <w:t>RDKit</w:t>
      </w:r>
      <w:proofErr w:type="spellEnd"/>
      <w:r w:rsidR="00CA567D" w:rsidRPr="00CA567D">
        <w:rPr>
          <w:color w:val="000000" w:themeColor="text1"/>
        </w:rPr>
        <w:t>:</w:t>
      </w:r>
      <w:r w:rsidR="0026650C" w:rsidRPr="0026650C">
        <w:rPr>
          <w:color w:val="000000" w:themeColor="text1"/>
        </w:rPr>
        <w:t xml:space="preserve"> molecular weight, </w:t>
      </w:r>
      <w:proofErr w:type="spellStart"/>
      <w:r w:rsidR="0026650C" w:rsidRPr="0026650C">
        <w:rPr>
          <w:color w:val="000000" w:themeColor="text1"/>
        </w:rPr>
        <w:t>LogP</w:t>
      </w:r>
      <w:proofErr w:type="spellEnd"/>
      <w:r w:rsidR="0026650C" w:rsidRPr="0026650C">
        <w:rPr>
          <w:color w:val="000000" w:themeColor="text1"/>
        </w:rPr>
        <w:t>, TPSA, hydrogen</w:t>
      </w:r>
      <w:r w:rsidR="003C13B9">
        <w:rPr>
          <w:color w:val="000000" w:themeColor="text1"/>
        </w:rPr>
        <w:t xml:space="preserve"> </w:t>
      </w:r>
      <w:r w:rsidR="0026650C" w:rsidRPr="0026650C">
        <w:rPr>
          <w:color w:val="000000" w:themeColor="text1"/>
        </w:rPr>
        <w:t>bond donors and acceptors, ring count, and fraction of sp³ carbons. The resulting descriptor table (</w:t>
      </w:r>
      <w:proofErr w:type="spellStart"/>
      <w:r w:rsidR="0026650C" w:rsidRPr="0026650C">
        <w:rPr>
          <w:color w:val="000000" w:themeColor="text1"/>
        </w:rPr>
        <w:t>df_final</w:t>
      </w:r>
      <w:proofErr w:type="spellEnd"/>
      <w:r w:rsidR="0026650C" w:rsidRPr="0026650C">
        <w:rPr>
          <w:color w:val="000000" w:themeColor="text1"/>
        </w:rPr>
        <w:t xml:space="preserve">) </w:t>
      </w:r>
      <w:r w:rsidR="00DD1600" w:rsidRPr="00DD1600">
        <w:rPr>
          <w:color w:val="000000" w:themeColor="text1"/>
        </w:rPr>
        <w:t>was saved as </w:t>
      </w:r>
      <w:r w:rsidR="00DD1600" w:rsidRPr="00DD1600">
        <w:rPr>
          <w:i/>
          <w:iCs/>
          <w:color w:val="000000" w:themeColor="text1"/>
        </w:rPr>
        <w:t>mtbs_tropical_descriptors.csv</w:t>
      </w:r>
      <w:r w:rsidR="00DD1600" w:rsidRPr="00DD1600">
        <w:rPr>
          <w:color w:val="000000" w:themeColor="text1"/>
        </w:rPr>
        <w:t> for subsequent analysis</w:t>
      </w:r>
      <w:r w:rsidR="00950745" w:rsidRPr="00DD1600">
        <w:rPr>
          <w:color w:val="000000" w:themeColor="text1"/>
        </w:rPr>
        <w:t>.</w:t>
      </w:r>
      <w:r w:rsidR="002C6A43" w:rsidRPr="002C6A43"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="002C6A43" w:rsidRPr="002C6A43">
        <w:rPr>
          <w:color w:val="000000" w:themeColor="text1"/>
        </w:rPr>
        <w:t xml:space="preserve">PCA </w:t>
      </w:r>
      <w:r w:rsidR="00DD1600">
        <w:rPr>
          <w:color w:val="000000" w:themeColor="text1"/>
        </w:rPr>
        <w:t>(</w:t>
      </w:r>
      <w:r w:rsidR="002C6A43" w:rsidRPr="002C6A43">
        <w:rPr>
          <w:color w:val="000000" w:themeColor="text1"/>
        </w:rPr>
        <w:t>scikit-learn</w:t>
      </w:r>
      <w:r w:rsidR="00DD1600">
        <w:rPr>
          <w:color w:val="000000" w:themeColor="text1"/>
        </w:rPr>
        <w:t>) was used</w:t>
      </w:r>
      <w:r w:rsidR="002C6A43" w:rsidRPr="002C6A43">
        <w:rPr>
          <w:color w:val="000000" w:themeColor="text1"/>
        </w:rPr>
        <w:t xml:space="preserve"> to summarize variation across these descriptors</w:t>
      </w:r>
      <w:r w:rsidR="00DD1600">
        <w:rPr>
          <w:color w:val="000000" w:themeColor="text1"/>
        </w:rPr>
        <w:t xml:space="preserve">, </w:t>
      </w:r>
      <w:r w:rsidR="00145428">
        <w:rPr>
          <w:color w:val="000000" w:themeColor="text1"/>
        </w:rPr>
        <w:t>and</w:t>
      </w:r>
      <w:r w:rsidR="008F46B5" w:rsidRPr="008F46B5">
        <w:rPr>
          <w:color w:val="000000" w:themeColor="text1"/>
        </w:rPr>
        <w:t xml:space="preserve"> three descriptor-based visualizations</w:t>
      </w:r>
      <w:r w:rsidR="00DD1600">
        <w:rPr>
          <w:color w:val="000000" w:themeColor="text1"/>
        </w:rPr>
        <w:t xml:space="preserve"> were </w:t>
      </w:r>
      <w:proofErr w:type="spellStart"/>
      <w:r w:rsidR="00DD1600">
        <w:rPr>
          <w:color w:val="000000" w:themeColor="text1"/>
        </w:rPr>
        <w:t>creared</w:t>
      </w:r>
      <w:proofErr w:type="spellEnd"/>
      <w:r w:rsidR="008F46B5" w:rsidRPr="008F46B5">
        <w:rPr>
          <w:color w:val="000000" w:themeColor="text1"/>
        </w:rPr>
        <w:t>: PCA scatterplot, PCA subclass centroids, a TPSA vs</w:t>
      </w:r>
      <w:r w:rsidR="00180F45">
        <w:rPr>
          <w:color w:val="000000" w:themeColor="text1"/>
        </w:rPr>
        <w:t>.</w:t>
      </w:r>
      <w:r w:rsidR="008F46B5" w:rsidRPr="008F46B5">
        <w:rPr>
          <w:color w:val="000000" w:themeColor="text1"/>
        </w:rPr>
        <w:t xml:space="preserve"> </w:t>
      </w:r>
      <w:proofErr w:type="spellStart"/>
      <w:r w:rsidR="008F46B5" w:rsidRPr="008F46B5">
        <w:rPr>
          <w:color w:val="000000" w:themeColor="text1"/>
        </w:rPr>
        <w:t>LogP</w:t>
      </w:r>
      <w:proofErr w:type="spellEnd"/>
      <w:r w:rsidR="008F46B5" w:rsidRPr="008F46B5">
        <w:rPr>
          <w:color w:val="000000" w:themeColor="text1"/>
        </w:rPr>
        <w:t xml:space="preserve"> plot, and a FractionCSP3 violin plot</w:t>
      </w:r>
      <w:r w:rsidR="00E660E9">
        <w:rPr>
          <w:color w:val="000000" w:themeColor="text1"/>
        </w:rPr>
        <w:t>.</w:t>
      </w:r>
      <w:r w:rsidR="000F271F">
        <w:rPr>
          <w:color w:val="000000" w:themeColor="text1"/>
        </w:rPr>
        <w:t xml:space="preserve"> </w:t>
      </w:r>
      <w:r w:rsidR="00E660E9">
        <w:rPr>
          <w:color w:val="000000" w:themeColor="text1"/>
        </w:rPr>
        <w:t>All analys</w:t>
      </w:r>
      <w:r w:rsidR="003947A2">
        <w:rPr>
          <w:color w:val="000000" w:themeColor="text1"/>
        </w:rPr>
        <w:t>e</w:t>
      </w:r>
      <w:r w:rsidR="00E660E9">
        <w:rPr>
          <w:color w:val="000000" w:themeColor="text1"/>
        </w:rPr>
        <w:t>s were conducted in python</w:t>
      </w:r>
      <w:r w:rsidR="00E660E9">
        <w:t xml:space="preserve"> (</w:t>
      </w:r>
      <w:proofErr w:type="spellStart"/>
      <w:r w:rsidR="00E660E9" w:rsidRPr="00E660E9">
        <w:rPr>
          <w:color w:val="000000" w:themeColor="text1"/>
        </w:rPr>
        <w:t>final_</w:t>
      </w:r>
      <w:proofErr w:type="gramStart"/>
      <w:r w:rsidR="00E660E9" w:rsidRPr="00E660E9">
        <w:rPr>
          <w:color w:val="000000" w:themeColor="text1"/>
        </w:rPr>
        <w:t>project.ipynb</w:t>
      </w:r>
      <w:proofErr w:type="spellEnd"/>
      <w:proofErr w:type="gramEnd"/>
      <w:r w:rsidR="00E660E9">
        <w:rPr>
          <w:color w:val="000000" w:themeColor="text1"/>
        </w:rPr>
        <w:t>)</w:t>
      </w:r>
    </w:p>
    <w:p w14:paraId="6F5F7977" w14:textId="25721D97" w:rsidR="001C5A8E" w:rsidRDefault="00164BD8" w:rsidP="002475FC">
      <w:pPr>
        <w:pStyle w:val="Heading1"/>
      </w:pPr>
      <w:r>
        <w:t>Results</w:t>
      </w:r>
    </w:p>
    <w:p w14:paraId="384A0526" w14:textId="0AC5EABA" w:rsidR="006062DA" w:rsidRDefault="006062DA" w:rsidP="00164BD8">
      <w:pPr>
        <w:rPr>
          <w:color w:val="595959" w:themeColor="text1" w:themeTint="A6"/>
        </w:rPr>
      </w:pPr>
    </w:p>
    <w:p w14:paraId="741D9D61" w14:textId="5ACE87B0" w:rsidR="00CD485D" w:rsidRPr="00D57D84" w:rsidRDefault="00E05533" w:rsidP="00E05533">
      <w:pPr>
        <w:jc w:val="center"/>
        <w:rPr>
          <w:color w:val="595959" w:themeColor="text1" w:themeTint="A6"/>
        </w:rPr>
      </w:pPr>
      <w:r>
        <w:rPr>
          <w:noProof/>
          <w:color w:val="595959" w:themeColor="text1" w:themeTint="A6"/>
        </w:rPr>
        <w:drawing>
          <wp:inline distT="0" distB="0" distL="0" distR="0" wp14:anchorId="4038630C" wp14:editId="5E9BE31C">
            <wp:extent cx="1379912" cy="1846875"/>
            <wp:effectExtent l="0" t="0" r="4445" b="0"/>
            <wp:docPr id="625724680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24680" name="Graphic 625724680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605" cy="1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CE21" w14:textId="4BB347A6" w:rsidR="00155581" w:rsidRDefault="00164BD8" w:rsidP="00155581">
      <w:pPr>
        <w:pStyle w:val="Heading1"/>
      </w:pPr>
      <w:r>
        <w:t>Discussion</w:t>
      </w:r>
    </w:p>
    <w:p w14:paraId="119AFA96" w14:textId="77777777" w:rsidR="00771C98" w:rsidRDefault="00984C2F" w:rsidP="00A93122">
      <w:pPr>
        <w:jc w:val="both"/>
        <w:rPr>
          <w:color w:val="000000" w:themeColor="text1"/>
        </w:rPr>
      </w:pPr>
      <w:r w:rsidRPr="003B4944">
        <w:rPr>
          <w:color w:val="000000" w:themeColor="text1"/>
        </w:rPr>
        <w:t xml:space="preserve">The results show that </w:t>
      </w:r>
      <w:r w:rsidR="003B2D0D">
        <w:rPr>
          <w:color w:val="000000" w:themeColor="text1"/>
        </w:rPr>
        <w:t>t</w:t>
      </w:r>
      <w:r w:rsidR="003B2D0D" w:rsidRPr="003B2D0D">
        <w:rPr>
          <w:color w:val="000000" w:themeColor="text1"/>
        </w:rPr>
        <w:t xml:space="preserve">he top 10 </w:t>
      </w:r>
      <w:proofErr w:type="spellStart"/>
      <w:r w:rsidR="003B2D0D" w:rsidRPr="003B2D0D">
        <w:rPr>
          <w:color w:val="000000" w:themeColor="text1"/>
        </w:rPr>
        <w:t>NPClassifier</w:t>
      </w:r>
      <w:proofErr w:type="spellEnd"/>
      <w:r w:rsidR="003B2D0D" w:rsidRPr="003B2D0D">
        <w:rPr>
          <w:color w:val="000000" w:themeColor="text1"/>
        </w:rPr>
        <w:t xml:space="preserve"> subclasses differ in broad chemical traits</w:t>
      </w:r>
      <w:r w:rsidR="002B1196">
        <w:rPr>
          <w:color w:val="000000" w:themeColor="text1"/>
        </w:rPr>
        <w:t xml:space="preserve">. </w:t>
      </w:r>
      <w:r w:rsidR="002B1196" w:rsidRPr="002B1196">
        <w:rPr>
          <w:color w:val="000000" w:themeColor="text1"/>
        </w:rPr>
        <w:t xml:space="preserve">PCA </w:t>
      </w:r>
      <w:r w:rsidR="00251734">
        <w:rPr>
          <w:color w:val="000000" w:themeColor="text1"/>
        </w:rPr>
        <w:t>indicates</w:t>
      </w:r>
      <w:r w:rsidR="002B1196" w:rsidRPr="002B1196">
        <w:rPr>
          <w:color w:val="000000" w:themeColor="text1"/>
        </w:rPr>
        <w:t xml:space="preserve"> that most variation among metabolites follows two </w:t>
      </w:r>
      <w:r w:rsidR="00B33CA3">
        <w:rPr>
          <w:color w:val="000000" w:themeColor="text1"/>
        </w:rPr>
        <w:t>main</w:t>
      </w:r>
      <w:r w:rsidR="002B1196" w:rsidRPr="002B1196">
        <w:rPr>
          <w:color w:val="000000" w:themeColor="text1"/>
        </w:rPr>
        <w:t xml:space="preserve"> axe</w:t>
      </w:r>
      <w:r w:rsidR="00B33CA3">
        <w:rPr>
          <w:color w:val="000000" w:themeColor="text1"/>
        </w:rPr>
        <w:t xml:space="preserve">s </w:t>
      </w:r>
      <w:r w:rsidR="002B1196" w:rsidRPr="002B1196">
        <w:rPr>
          <w:color w:val="000000" w:themeColor="text1"/>
        </w:rPr>
        <w:t>polarity/lipophilicity and molecular size/saturation</w:t>
      </w:r>
      <w:r w:rsidR="00FB106B">
        <w:rPr>
          <w:color w:val="000000" w:themeColor="text1"/>
        </w:rPr>
        <w:t xml:space="preserve"> </w:t>
      </w:r>
      <w:r w:rsidR="002B1196" w:rsidRPr="002B1196">
        <w:rPr>
          <w:color w:val="000000" w:themeColor="text1"/>
        </w:rPr>
        <w:t xml:space="preserve">consistent with the coordinated chemical trait structure described </w:t>
      </w:r>
      <w:r w:rsidR="00AA5089">
        <w:rPr>
          <w:color w:val="000000" w:themeColor="text1"/>
        </w:rPr>
        <w:t>in</w:t>
      </w:r>
      <w:r w:rsidR="001161A9" w:rsidRPr="001161A9"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="001161A9" w:rsidRPr="001161A9">
        <w:rPr>
          <w:color w:val="000000" w:themeColor="text1"/>
        </w:rPr>
        <w:t xml:space="preserve">Fig. 2 of </w:t>
      </w:r>
      <w:r w:rsidR="001161A9" w:rsidRPr="00040002">
        <w:rPr>
          <w:i/>
          <w:iCs/>
          <w:color w:val="000000" w:themeColor="text1"/>
        </w:rPr>
        <w:t>Walker</w:t>
      </w:r>
      <w:r w:rsidR="006B01F0" w:rsidRPr="00040002">
        <w:rPr>
          <w:i/>
          <w:iCs/>
          <w:color w:val="000000" w:themeColor="text1"/>
        </w:rPr>
        <w:t xml:space="preserve"> et. </w:t>
      </w:r>
      <w:r w:rsidR="00040002" w:rsidRPr="00040002">
        <w:rPr>
          <w:i/>
          <w:iCs/>
          <w:color w:val="000000" w:themeColor="text1"/>
        </w:rPr>
        <w:t>al.</w:t>
      </w:r>
      <w:r w:rsidR="001161A9" w:rsidRPr="00040002">
        <w:rPr>
          <w:i/>
          <w:iCs/>
          <w:color w:val="000000" w:themeColor="text1"/>
        </w:rPr>
        <w:t xml:space="preserve"> </w:t>
      </w:r>
      <w:r w:rsidR="00BC0675" w:rsidRPr="00BC0675">
        <w:rPr>
          <w:color w:val="0070C0"/>
          <w:vertAlign w:val="superscript"/>
        </w:rPr>
        <w:t>[</w:t>
      </w:r>
      <w:r w:rsidR="00BC0675">
        <w:rPr>
          <w:color w:val="0070C0"/>
          <w:vertAlign w:val="superscript"/>
        </w:rPr>
        <w:t>1</w:t>
      </w:r>
      <w:r w:rsidR="00BC0675" w:rsidRPr="00BC0675">
        <w:rPr>
          <w:color w:val="0070C0"/>
          <w:vertAlign w:val="superscript"/>
        </w:rPr>
        <w:t>]</w:t>
      </w:r>
      <w:r w:rsidR="00121F95">
        <w:rPr>
          <w:color w:val="000000" w:themeColor="text1"/>
        </w:rPr>
        <w:t xml:space="preserve">. </w:t>
      </w:r>
      <w:r w:rsidR="009267A7" w:rsidRPr="009267A7">
        <w:rPr>
          <w:color w:val="000000" w:themeColor="text1"/>
        </w:rPr>
        <w:t>The TPSA</w:t>
      </w:r>
      <w:r w:rsidR="00180F45">
        <w:rPr>
          <w:color w:val="000000" w:themeColor="text1"/>
        </w:rPr>
        <w:t xml:space="preserve"> vs. </w:t>
      </w:r>
      <w:proofErr w:type="spellStart"/>
      <w:r w:rsidR="009267A7" w:rsidRPr="009267A7">
        <w:rPr>
          <w:color w:val="000000" w:themeColor="text1"/>
        </w:rPr>
        <w:t>LogP</w:t>
      </w:r>
      <w:proofErr w:type="spellEnd"/>
      <w:r w:rsidR="009267A7" w:rsidRPr="009267A7">
        <w:rPr>
          <w:color w:val="000000" w:themeColor="text1"/>
        </w:rPr>
        <w:t xml:space="preserve"> plot shows that subclasses vary in how polar or hydrophobic their metabolites tend to be, </w:t>
      </w:r>
      <w:r w:rsidR="00BA4D8D">
        <w:rPr>
          <w:color w:val="000000" w:themeColor="text1"/>
        </w:rPr>
        <w:t>aligning with</w:t>
      </w:r>
      <w:r w:rsidR="009307EB" w:rsidRPr="009307EB">
        <w:rPr>
          <w:color w:val="000000" w:themeColor="text1"/>
        </w:rPr>
        <w:t xml:space="preserve"> the established </w:t>
      </w:r>
      <w:r w:rsidR="00BA4D8D">
        <w:rPr>
          <w:color w:val="000000" w:themeColor="text1"/>
        </w:rPr>
        <w:t>role</w:t>
      </w:r>
      <w:r w:rsidR="009307EB" w:rsidRPr="009307EB">
        <w:rPr>
          <w:color w:val="000000" w:themeColor="text1"/>
        </w:rPr>
        <w:t xml:space="preserve"> of TPSA as a predictor of transport and absorption in medicinal </w:t>
      </w:r>
      <w:r w:rsidR="008557FF" w:rsidRPr="009307EB">
        <w:rPr>
          <w:color w:val="000000" w:themeColor="text1"/>
        </w:rPr>
        <w:t>chemistry</w:t>
      </w:r>
      <w:r w:rsidR="008557FF" w:rsidRPr="00BC0675">
        <w:rPr>
          <w:color w:val="0070C0"/>
          <w:vertAlign w:val="superscript"/>
        </w:rPr>
        <w:t xml:space="preserve"> [</w:t>
      </w:r>
      <w:r w:rsidR="00BC0675">
        <w:rPr>
          <w:color w:val="0070C0"/>
          <w:vertAlign w:val="superscript"/>
        </w:rPr>
        <w:t>2</w:t>
      </w:r>
      <w:r w:rsidR="00BC0675" w:rsidRPr="00BC0675">
        <w:rPr>
          <w:color w:val="0070C0"/>
          <w:vertAlign w:val="superscript"/>
        </w:rPr>
        <w:t>]</w:t>
      </w:r>
      <w:r w:rsidR="009267A7" w:rsidRPr="009267A7">
        <w:rPr>
          <w:color w:val="000000" w:themeColor="text1"/>
        </w:rPr>
        <w:t>.</w:t>
      </w:r>
      <w:r w:rsidR="00A870BB">
        <w:rPr>
          <w:color w:val="000000" w:themeColor="text1"/>
        </w:rPr>
        <w:t xml:space="preserve"> The FractionCSP3 violin plot shows that there is a difference in carbon saturation </w:t>
      </w:r>
      <w:r w:rsidR="008139AB">
        <w:rPr>
          <w:color w:val="000000" w:themeColor="text1"/>
        </w:rPr>
        <w:t>across</w:t>
      </w:r>
      <w:r w:rsidR="00A870BB">
        <w:rPr>
          <w:color w:val="000000" w:themeColor="text1"/>
        </w:rPr>
        <w:t xml:space="preserve"> subclasses</w:t>
      </w:r>
      <w:r w:rsidR="00CB3173">
        <w:rPr>
          <w:color w:val="000000" w:themeColor="text1"/>
        </w:rPr>
        <w:t xml:space="preserve">, </w:t>
      </w:r>
      <w:r w:rsidR="00A93122" w:rsidRPr="00A93122">
        <w:rPr>
          <w:color w:val="000000" w:themeColor="text1"/>
        </w:rPr>
        <w:t xml:space="preserve">higher saturation (higher Fsp³) is often associated with improved solubility and better compound progression in drug </w:t>
      </w:r>
      <w:r w:rsidR="008557FF" w:rsidRPr="00A93122">
        <w:rPr>
          <w:color w:val="000000" w:themeColor="text1"/>
        </w:rPr>
        <w:t>discovery</w:t>
      </w:r>
      <w:r w:rsidR="008557FF" w:rsidRPr="00BC0675">
        <w:rPr>
          <w:color w:val="0070C0"/>
          <w:vertAlign w:val="superscript"/>
        </w:rPr>
        <w:t xml:space="preserve"> [</w:t>
      </w:r>
      <w:r w:rsidR="00BC0675" w:rsidRPr="00BC0675">
        <w:rPr>
          <w:color w:val="0070C0"/>
          <w:vertAlign w:val="superscript"/>
        </w:rPr>
        <w:t>3]</w:t>
      </w:r>
      <w:r w:rsidR="00BC0675">
        <w:rPr>
          <w:color w:val="000000" w:themeColor="text1"/>
        </w:rPr>
        <w:t xml:space="preserve">. </w:t>
      </w:r>
    </w:p>
    <w:p w14:paraId="628B86B0" w14:textId="141F58B6" w:rsidR="00824AAE" w:rsidRPr="00771C98" w:rsidRDefault="00164BD8" w:rsidP="00771C98">
      <w:pPr>
        <w:rPr>
          <w:sz w:val="26"/>
          <w:szCs w:val="26"/>
        </w:rPr>
      </w:pPr>
      <w:r w:rsidRPr="00771C98">
        <w:rPr>
          <w:sz w:val="26"/>
          <w:szCs w:val="26"/>
        </w:rPr>
        <w:lastRenderedPageBreak/>
        <w:t>References</w:t>
      </w:r>
    </w:p>
    <w:p w14:paraId="15DDAEE6" w14:textId="2F11B91E" w:rsidR="0040709F" w:rsidRPr="0040709F" w:rsidRDefault="00BC0675" w:rsidP="00812F5A">
      <w:pPr>
        <w:pStyle w:val="NormalWeb"/>
        <w:numPr>
          <w:ilvl w:val="0"/>
          <w:numId w:val="7"/>
        </w:numPr>
        <w:spacing w:line="360" w:lineRule="auto"/>
        <w:rPr>
          <w:rFonts w:ascii="Bierstadt" w:hAnsi="Bierstadt"/>
        </w:rPr>
      </w:pPr>
      <w:r w:rsidRPr="00BC0675">
        <w:rPr>
          <w:rFonts w:ascii="Bierstadt" w:hAnsi="Bierstadt"/>
        </w:rPr>
        <w:t>Walker </w:t>
      </w:r>
      <w:r w:rsidRPr="00BC0675">
        <w:rPr>
          <w:rFonts w:ascii="Bierstadt" w:hAnsi="Bierstadt"/>
          <w:i/>
          <w:iCs/>
        </w:rPr>
        <w:t>et al</w:t>
      </w:r>
      <w:r w:rsidRPr="00BC0675">
        <w:rPr>
          <w:rFonts w:ascii="Bierstadt" w:hAnsi="Bierstadt"/>
        </w:rPr>
        <w:t>., </w:t>
      </w:r>
      <w:r w:rsidRPr="00BC0675">
        <w:rPr>
          <w:rFonts w:ascii="Bierstadt" w:hAnsi="Bierstadt"/>
          <w:i/>
          <w:iCs/>
        </w:rPr>
        <w:t>Sci. Adv.</w:t>
      </w:r>
      <w:r w:rsidRPr="00BC0675">
        <w:rPr>
          <w:rFonts w:ascii="Bierstadt" w:hAnsi="Bierstadt"/>
        </w:rPr>
        <w:t> </w:t>
      </w:r>
      <w:r w:rsidRPr="00BC0675">
        <w:rPr>
          <w:rFonts w:ascii="Bierstadt" w:hAnsi="Bierstadt"/>
          <w:b/>
          <w:bCs/>
        </w:rPr>
        <w:t>2023</w:t>
      </w:r>
      <w:r w:rsidRPr="00BC0675">
        <w:rPr>
          <w:rFonts w:ascii="Bierstadt" w:hAnsi="Bierstadt"/>
        </w:rPr>
        <w:t>, 9, eadi4029.</w:t>
      </w:r>
    </w:p>
    <w:p w14:paraId="5AA027AE" w14:textId="633C282A" w:rsidR="00812F5A" w:rsidRDefault="00405F8F" w:rsidP="00812F5A">
      <w:pPr>
        <w:pStyle w:val="NormalWeb"/>
        <w:numPr>
          <w:ilvl w:val="0"/>
          <w:numId w:val="7"/>
        </w:numPr>
        <w:spacing w:line="360" w:lineRule="auto"/>
        <w:rPr>
          <w:rFonts w:ascii="Bierstadt" w:hAnsi="Bierstadt"/>
        </w:rPr>
      </w:pPr>
      <w:r w:rsidRPr="00405F8F">
        <w:rPr>
          <w:rFonts w:ascii="Bierstadt" w:hAnsi="Bierstadt"/>
          <w:i/>
          <w:iCs/>
        </w:rPr>
        <w:t xml:space="preserve">Lovering, Bikker, and </w:t>
      </w:r>
      <w:proofErr w:type="spellStart"/>
      <w:r w:rsidRPr="00405F8F">
        <w:rPr>
          <w:rFonts w:ascii="Bierstadt" w:hAnsi="Bierstadt"/>
          <w:i/>
          <w:iCs/>
        </w:rPr>
        <w:t>Humblet</w:t>
      </w:r>
      <w:proofErr w:type="spellEnd"/>
      <w:r w:rsidRPr="00405F8F">
        <w:rPr>
          <w:rFonts w:ascii="Bierstadt" w:hAnsi="Bierstadt"/>
          <w:i/>
          <w:iCs/>
        </w:rPr>
        <w:t>, </w:t>
      </w:r>
      <w:r w:rsidRPr="00F11FB9">
        <w:rPr>
          <w:rFonts w:ascii="Bierstadt" w:hAnsi="Bierstadt"/>
          <w:i/>
          <w:iCs/>
        </w:rPr>
        <w:t>J. Med. Chem.</w:t>
      </w:r>
      <w:r w:rsidRPr="00405F8F">
        <w:rPr>
          <w:rFonts w:ascii="Bierstadt" w:hAnsi="Bierstadt"/>
          <w:i/>
          <w:iCs/>
        </w:rPr>
        <w:t> </w:t>
      </w:r>
      <w:r w:rsidRPr="0040709F">
        <w:rPr>
          <w:rFonts w:ascii="Bierstadt" w:hAnsi="Bierstadt"/>
          <w:b/>
          <w:bCs/>
          <w:i/>
          <w:iCs/>
        </w:rPr>
        <w:t>2009</w:t>
      </w:r>
      <w:r w:rsidRPr="00405F8F">
        <w:rPr>
          <w:rFonts w:ascii="Bierstadt" w:hAnsi="Bierstadt"/>
          <w:i/>
          <w:iCs/>
        </w:rPr>
        <w:t>, </w:t>
      </w:r>
      <w:r w:rsidRPr="0040709F">
        <w:rPr>
          <w:rFonts w:ascii="Bierstadt" w:hAnsi="Bierstadt"/>
          <w:i/>
          <w:iCs/>
        </w:rPr>
        <w:t>52</w:t>
      </w:r>
      <w:r w:rsidRPr="00405F8F">
        <w:rPr>
          <w:rFonts w:ascii="Bierstadt" w:hAnsi="Bierstadt"/>
          <w:i/>
          <w:iCs/>
        </w:rPr>
        <w:t>, 6752–6756</w:t>
      </w:r>
    </w:p>
    <w:p w14:paraId="712953A2" w14:textId="27E92D3F" w:rsidR="00CB1870" w:rsidRPr="009830C2" w:rsidRDefault="00405F8F" w:rsidP="00164BD8">
      <w:pPr>
        <w:pStyle w:val="NormalWeb"/>
        <w:numPr>
          <w:ilvl w:val="0"/>
          <w:numId w:val="7"/>
        </w:numPr>
        <w:spacing w:line="360" w:lineRule="auto"/>
        <w:rPr>
          <w:rFonts w:ascii="Bierstadt" w:hAnsi="Bierstadt"/>
          <w:lang w:val="de-CH"/>
        </w:rPr>
      </w:pPr>
      <w:r w:rsidRPr="00405F8F">
        <w:rPr>
          <w:rFonts w:ascii="Bierstadt" w:hAnsi="Bierstadt"/>
          <w:color w:val="000000"/>
          <w:lang w:val="de-CH"/>
        </w:rPr>
        <w:t>Ertl, P.; Rohde, B.; Selzer, P.</w:t>
      </w:r>
      <w:r w:rsidRPr="00405F8F">
        <w:rPr>
          <w:rStyle w:val="apple-converted-space"/>
          <w:rFonts w:ascii="Bierstadt" w:eastAsiaTheme="majorEastAsia" w:hAnsi="Bierstadt"/>
          <w:color w:val="000000"/>
          <w:lang w:val="de-CH"/>
        </w:rPr>
        <w:t> </w:t>
      </w:r>
      <w:r w:rsidRPr="00405F8F">
        <w:rPr>
          <w:rStyle w:val="Emphasis"/>
          <w:rFonts w:ascii="Bierstadt" w:hAnsi="Bierstadt"/>
          <w:color w:val="000000"/>
          <w:lang w:val="de-CH"/>
        </w:rPr>
        <w:t>J. Med. Chem.</w:t>
      </w:r>
      <w:r w:rsidRPr="00405F8F">
        <w:rPr>
          <w:rStyle w:val="apple-converted-space"/>
          <w:rFonts w:ascii="Bierstadt" w:eastAsiaTheme="majorEastAsia" w:hAnsi="Bierstadt"/>
          <w:color w:val="000000"/>
          <w:lang w:val="de-CH"/>
        </w:rPr>
        <w:t> </w:t>
      </w:r>
      <w:r w:rsidRPr="00405F8F">
        <w:rPr>
          <w:rStyle w:val="Strong"/>
          <w:rFonts w:ascii="Bierstadt" w:eastAsiaTheme="minorEastAsia" w:hAnsi="Bierstadt"/>
          <w:color w:val="000000"/>
          <w:lang w:val="de-CH"/>
        </w:rPr>
        <w:t>2000</w:t>
      </w:r>
      <w:r w:rsidRPr="00405F8F">
        <w:rPr>
          <w:rFonts w:ascii="Bierstadt" w:hAnsi="Bierstadt"/>
          <w:color w:val="000000"/>
          <w:lang w:val="de-CH"/>
        </w:rPr>
        <w:t>,</w:t>
      </w:r>
      <w:r w:rsidRPr="00405F8F">
        <w:rPr>
          <w:rStyle w:val="apple-converted-space"/>
          <w:rFonts w:ascii="Bierstadt" w:eastAsiaTheme="majorEastAsia" w:hAnsi="Bierstadt"/>
          <w:color w:val="000000"/>
          <w:lang w:val="de-CH"/>
        </w:rPr>
        <w:t> </w:t>
      </w:r>
      <w:r w:rsidRPr="00405F8F">
        <w:rPr>
          <w:rStyle w:val="Emphasis"/>
          <w:rFonts w:ascii="Bierstadt" w:hAnsi="Bierstadt"/>
          <w:color w:val="000000"/>
          <w:lang w:val="de-CH"/>
        </w:rPr>
        <w:t>43</w:t>
      </w:r>
      <w:r w:rsidRPr="00405F8F">
        <w:rPr>
          <w:rFonts w:ascii="Bierstadt" w:hAnsi="Bierstadt"/>
          <w:color w:val="000000"/>
          <w:lang w:val="de-CH"/>
        </w:rPr>
        <w:t>, 3714–3717</w:t>
      </w:r>
      <w:r w:rsidRPr="00405F8F">
        <w:rPr>
          <w:rFonts w:ascii="-webkit-standard" w:hAnsi="-webkit-standard"/>
          <w:color w:val="000000"/>
          <w:sz w:val="27"/>
          <w:szCs w:val="27"/>
          <w:lang w:val="de-CH"/>
        </w:rPr>
        <w:t>.</w:t>
      </w:r>
    </w:p>
    <w:sectPr w:rsidR="00CB1870" w:rsidRPr="009830C2" w:rsidSect="00DD47BB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-webkit-standard">
    <w:altName w:val="Cambria"/>
    <w:panose1 w:val="020B0604020202020204"/>
    <w:charset w:val="00"/>
    <w:family w:val="roman"/>
    <w:pitch w:val="default"/>
  </w:font>
  <w:font w:name="Bierstadt">
    <w:panose1 w:val="020B0004020202020204"/>
    <w:charset w:val="00"/>
    <w:family w:val="swiss"/>
    <w:pitch w:val="variable"/>
    <w:sig w:usb0="80000003" w:usb1="00000001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E4426"/>
    <w:multiLevelType w:val="hybridMultilevel"/>
    <w:tmpl w:val="6DD2AD0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72279"/>
    <w:multiLevelType w:val="hybridMultilevel"/>
    <w:tmpl w:val="7EA29C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C700B9"/>
    <w:multiLevelType w:val="hybridMultilevel"/>
    <w:tmpl w:val="D7FC78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55428A"/>
    <w:multiLevelType w:val="hybridMultilevel"/>
    <w:tmpl w:val="4B5804A8"/>
    <w:lvl w:ilvl="0" w:tplc="549E9304">
      <w:start w:val="1"/>
      <w:numFmt w:val="decimal"/>
      <w:lvlText w:val="[%1]"/>
      <w:lvlJc w:val="left"/>
      <w:pPr>
        <w:ind w:left="360" w:hanging="360"/>
      </w:pPr>
      <w:rPr>
        <w:rFonts w:hint="default"/>
        <w:b w:val="0"/>
        <w:i w:val="0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57F0F79"/>
    <w:multiLevelType w:val="hybridMultilevel"/>
    <w:tmpl w:val="DDD00BE2"/>
    <w:lvl w:ilvl="0" w:tplc="3E383A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67424F"/>
    <w:multiLevelType w:val="hybridMultilevel"/>
    <w:tmpl w:val="6FD0F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5E4228"/>
    <w:multiLevelType w:val="hybridMultilevel"/>
    <w:tmpl w:val="31B8CD32"/>
    <w:lvl w:ilvl="0" w:tplc="B154619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949356">
    <w:abstractNumId w:val="6"/>
  </w:num>
  <w:num w:numId="2" w16cid:durableId="1969319156">
    <w:abstractNumId w:val="1"/>
  </w:num>
  <w:num w:numId="3" w16cid:durableId="654141397">
    <w:abstractNumId w:val="2"/>
  </w:num>
  <w:num w:numId="4" w16cid:durableId="1751734044">
    <w:abstractNumId w:val="0"/>
  </w:num>
  <w:num w:numId="5" w16cid:durableId="1355184674">
    <w:abstractNumId w:val="5"/>
  </w:num>
  <w:num w:numId="6" w16cid:durableId="299700588">
    <w:abstractNumId w:val="4"/>
  </w:num>
  <w:num w:numId="7" w16cid:durableId="4358335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08A"/>
    <w:rsid w:val="00005E31"/>
    <w:rsid w:val="000271D9"/>
    <w:rsid w:val="00040002"/>
    <w:rsid w:val="0005043A"/>
    <w:rsid w:val="0006734B"/>
    <w:rsid w:val="000864CF"/>
    <w:rsid w:val="00096654"/>
    <w:rsid w:val="00097F75"/>
    <w:rsid w:val="000D30ED"/>
    <w:rsid w:val="000E10A5"/>
    <w:rsid w:val="000E2F4B"/>
    <w:rsid w:val="000E33B8"/>
    <w:rsid w:val="000F271F"/>
    <w:rsid w:val="001011EF"/>
    <w:rsid w:val="001161A9"/>
    <w:rsid w:val="00117A6C"/>
    <w:rsid w:val="00121F95"/>
    <w:rsid w:val="00125C52"/>
    <w:rsid w:val="0013645E"/>
    <w:rsid w:val="00145428"/>
    <w:rsid w:val="00147C2E"/>
    <w:rsid w:val="00155581"/>
    <w:rsid w:val="00164BD8"/>
    <w:rsid w:val="001765E1"/>
    <w:rsid w:val="00176D40"/>
    <w:rsid w:val="00180F45"/>
    <w:rsid w:val="001821A8"/>
    <w:rsid w:val="001838BF"/>
    <w:rsid w:val="001B2ED5"/>
    <w:rsid w:val="001B37DB"/>
    <w:rsid w:val="001C5A8E"/>
    <w:rsid w:val="001C76BB"/>
    <w:rsid w:val="001F08F8"/>
    <w:rsid w:val="001F3E8B"/>
    <w:rsid w:val="001F5034"/>
    <w:rsid w:val="001F6F94"/>
    <w:rsid w:val="002176F8"/>
    <w:rsid w:val="00244FFF"/>
    <w:rsid w:val="002475FC"/>
    <w:rsid w:val="00251734"/>
    <w:rsid w:val="002628AD"/>
    <w:rsid w:val="0026650C"/>
    <w:rsid w:val="00274AB3"/>
    <w:rsid w:val="002A1C6E"/>
    <w:rsid w:val="002A3500"/>
    <w:rsid w:val="002B1196"/>
    <w:rsid w:val="002B35DC"/>
    <w:rsid w:val="002C6A43"/>
    <w:rsid w:val="002E6264"/>
    <w:rsid w:val="002F28D5"/>
    <w:rsid w:val="00302E59"/>
    <w:rsid w:val="003178D9"/>
    <w:rsid w:val="00325926"/>
    <w:rsid w:val="003401CD"/>
    <w:rsid w:val="0035498B"/>
    <w:rsid w:val="003564F5"/>
    <w:rsid w:val="0036353A"/>
    <w:rsid w:val="0036438F"/>
    <w:rsid w:val="0036717F"/>
    <w:rsid w:val="00385EBC"/>
    <w:rsid w:val="003929BC"/>
    <w:rsid w:val="003947A2"/>
    <w:rsid w:val="003A4EE5"/>
    <w:rsid w:val="003B2D0D"/>
    <w:rsid w:val="003B3C67"/>
    <w:rsid w:val="003B4944"/>
    <w:rsid w:val="003B5564"/>
    <w:rsid w:val="003B76A5"/>
    <w:rsid w:val="003C13B9"/>
    <w:rsid w:val="003C23AF"/>
    <w:rsid w:val="003C3744"/>
    <w:rsid w:val="00405F8F"/>
    <w:rsid w:val="00406D4B"/>
    <w:rsid w:val="0040709F"/>
    <w:rsid w:val="00412022"/>
    <w:rsid w:val="00435587"/>
    <w:rsid w:val="00464328"/>
    <w:rsid w:val="00472F04"/>
    <w:rsid w:val="0047551C"/>
    <w:rsid w:val="00493771"/>
    <w:rsid w:val="004A3226"/>
    <w:rsid w:val="004C01CB"/>
    <w:rsid w:val="004E7F62"/>
    <w:rsid w:val="004F0ADA"/>
    <w:rsid w:val="0050655F"/>
    <w:rsid w:val="005161F0"/>
    <w:rsid w:val="00530197"/>
    <w:rsid w:val="00536578"/>
    <w:rsid w:val="00536B61"/>
    <w:rsid w:val="00536F17"/>
    <w:rsid w:val="00552164"/>
    <w:rsid w:val="00555121"/>
    <w:rsid w:val="00573769"/>
    <w:rsid w:val="00576F3B"/>
    <w:rsid w:val="0058574C"/>
    <w:rsid w:val="00593A3E"/>
    <w:rsid w:val="00596E85"/>
    <w:rsid w:val="005A08B0"/>
    <w:rsid w:val="005A1066"/>
    <w:rsid w:val="005D0144"/>
    <w:rsid w:val="005F773A"/>
    <w:rsid w:val="006062DA"/>
    <w:rsid w:val="006308B4"/>
    <w:rsid w:val="00632A94"/>
    <w:rsid w:val="00637A19"/>
    <w:rsid w:val="00640F78"/>
    <w:rsid w:val="00642D5B"/>
    <w:rsid w:val="00647C4C"/>
    <w:rsid w:val="00653205"/>
    <w:rsid w:val="0069226F"/>
    <w:rsid w:val="006A22D3"/>
    <w:rsid w:val="006A4D06"/>
    <w:rsid w:val="006B01F0"/>
    <w:rsid w:val="006B600C"/>
    <w:rsid w:val="006B70C3"/>
    <w:rsid w:val="006C51E3"/>
    <w:rsid w:val="006F7A19"/>
    <w:rsid w:val="00703875"/>
    <w:rsid w:val="00717395"/>
    <w:rsid w:val="00717E19"/>
    <w:rsid w:val="00722D2E"/>
    <w:rsid w:val="00725DB0"/>
    <w:rsid w:val="00730057"/>
    <w:rsid w:val="00747403"/>
    <w:rsid w:val="00771C98"/>
    <w:rsid w:val="00774AC7"/>
    <w:rsid w:val="007757F9"/>
    <w:rsid w:val="00782461"/>
    <w:rsid w:val="007907C0"/>
    <w:rsid w:val="007A6BFF"/>
    <w:rsid w:val="007A792C"/>
    <w:rsid w:val="007B5C55"/>
    <w:rsid w:val="007C1E7D"/>
    <w:rsid w:val="007C3AC5"/>
    <w:rsid w:val="007D5E12"/>
    <w:rsid w:val="007F5E94"/>
    <w:rsid w:val="00811A0C"/>
    <w:rsid w:val="00812F5A"/>
    <w:rsid w:val="00813135"/>
    <w:rsid w:val="008139AB"/>
    <w:rsid w:val="00824AAE"/>
    <w:rsid w:val="00832DEB"/>
    <w:rsid w:val="008440C3"/>
    <w:rsid w:val="008557FF"/>
    <w:rsid w:val="008615CF"/>
    <w:rsid w:val="00861C22"/>
    <w:rsid w:val="00892073"/>
    <w:rsid w:val="008A7F74"/>
    <w:rsid w:val="008D15BA"/>
    <w:rsid w:val="008E28B1"/>
    <w:rsid w:val="008F46B5"/>
    <w:rsid w:val="00922D4E"/>
    <w:rsid w:val="009267A7"/>
    <w:rsid w:val="009307EB"/>
    <w:rsid w:val="009437BD"/>
    <w:rsid w:val="00944BE6"/>
    <w:rsid w:val="00950745"/>
    <w:rsid w:val="009830C2"/>
    <w:rsid w:val="00984C2F"/>
    <w:rsid w:val="009870E9"/>
    <w:rsid w:val="009A0BF4"/>
    <w:rsid w:val="009A75F2"/>
    <w:rsid w:val="009E029D"/>
    <w:rsid w:val="009F145D"/>
    <w:rsid w:val="00A063D7"/>
    <w:rsid w:val="00A145B1"/>
    <w:rsid w:val="00A51FFA"/>
    <w:rsid w:val="00A62983"/>
    <w:rsid w:val="00A8543A"/>
    <w:rsid w:val="00A870BB"/>
    <w:rsid w:val="00A93122"/>
    <w:rsid w:val="00A93E5F"/>
    <w:rsid w:val="00AA34DB"/>
    <w:rsid w:val="00AA4EE2"/>
    <w:rsid w:val="00AA5089"/>
    <w:rsid w:val="00AB216C"/>
    <w:rsid w:val="00AD4C41"/>
    <w:rsid w:val="00AD69C9"/>
    <w:rsid w:val="00AE5469"/>
    <w:rsid w:val="00AF2010"/>
    <w:rsid w:val="00AF23FE"/>
    <w:rsid w:val="00AF71F3"/>
    <w:rsid w:val="00B04AD7"/>
    <w:rsid w:val="00B10BF2"/>
    <w:rsid w:val="00B33CA3"/>
    <w:rsid w:val="00B530D5"/>
    <w:rsid w:val="00B57B5F"/>
    <w:rsid w:val="00B60915"/>
    <w:rsid w:val="00B63535"/>
    <w:rsid w:val="00B80F46"/>
    <w:rsid w:val="00B942A4"/>
    <w:rsid w:val="00B97643"/>
    <w:rsid w:val="00BA4D8D"/>
    <w:rsid w:val="00BB07AC"/>
    <w:rsid w:val="00BB5511"/>
    <w:rsid w:val="00BC0675"/>
    <w:rsid w:val="00BF625E"/>
    <w:rsid w:val="00C10570"/>
    <w:rsid w:val="00C32513"/>
    <w:rsid w:val="00C424A8"/>
    <w:rsid w:val="00C45843"/>
    <w:rsid w:val="00C47453"/>
    <w:rsid w:val="00C6008A"/>
    <w:rsid w:val="00C6445E"/>
    <w:rsid w:val="00C64FE7"/>
    <w:rsid w:val="00C76FF0"/>
    <w:rsid w:val="00C7737F"/>
    <w:rsid w:val="00C908BC"/>
    <w:rsid w:val="00CA567D"/>
    <w:rsid w:val="00CB1870"/>
    <w:rsid w:val="00CB3173"/>
    <w:rsid w:val="00CB611E"/>
    <w:rsid w:val="00CC47A0"/>
    <w:rsid w:val="00CC7592"/>
    <w:rsid w:val="00CD485D"/>
    <w:rsid w:val="00D06107"/>
    <w:rsid w:val="00D10107"/>
    <w:rsid w:val="00D2550C"/>
    <w:rsid w:val="00D545F9"/>
    <w:rsid w:val="00D57D84"/>
    <w:rsid w:val="00DD1600"/>
    <w:rsid w:val="00DD346E"/>
    <w:rsid w:val="00DD47BB"/>
    <w:rsid w:val="00E05533"/>
    <w:rsid w:val="00E1169B"/>
    <w:rsid w:val="00E12283"/>
    <w:rsid w:val="00E22D01"/>
    <w:rsid w:val="00E348D9"/>
    <w:rsid w:val="00E42833"/>
    <w:rsid w:val="00E43DBE"/>
    <w:rsid w:val="00E5418D"/>
    <w:rsid w:val="00E65D02"/>
    <w:rsid w:val="00E660E9"/>
    <w:rsid w:val="00E71241"/>
    <w:rsid w:val="00E7251B"/>
    <w:rsid w:val="00E77DE4"/>
    <w:rsid w:val="00E87CD0"/>
    <w:rsid w:val="00E87F1D"/>
    <w:rsid w:val="00EA37D7"/>
    <w:rsid w:val="00EB4642"/>
    <w:rsid w:val="00EB6F51"/>
    <w:rsid w:val="00EC19C1"/>
    <w:rsid w:val="00ED05D0"/>
    <w:rsid w:val="00ED481D"/>
    <w:rsid w:val="00EF0AE1"/>
    <w:rsid w:val="00EF458E"/>
    <w:rsid w:val="00F11FB9"/>
    <w:rsid w:val="00F21F0D"/>
    <w:rsid w:val="00F257DF"/>
    <w:rsid w:val="00F30D81"/>
    <w:rsid w:val="00F4396E"/>
    <w:rsid w:val="00F66C54"/>
    <w:rsid w:val="00F936E5"/>
    <w:rsid w:val="00FA085D"/>
    <w:rsid w:val="00FB106B"/>
    <w:rsid w:val="00FC2B8E"/>
    <w:rsid w:val="00FE1E9B"/>
    <w:rsid w:val="00FF710D"/>
    <w:rsid w:val="01C0980B"/>
    <w:rsid w:val="02BD461E"/>
    <w:rsid w:val="0ED4E0C0"/>
    <w:rsid w:val="1140F824"/>
    <w:rsid w:val="16501272"/>
    <w:rsid w:val="165A3843"/>
    <w:rsid w:val="1819D878"/>
    <w:rsid w:val="2CEFCC5F"/>
    <w:rsid w:val="2DA13259"/>
    <w:rsid w:val="38E1AE73"/>
    <w:rsid w:val="483DB303"/>
    <w:rsid w:val="487D7E54"/>
    <w:rsid w:val="48834518"/>
    <w:rsid w:val="4A48E3C9"/>
    <w:rsid w:val="509EE938"/>
    <w:rsid w:val="55A1AEF6"/>
    <w:rsid w:val="56169F27"/>
    <w:rsid w:val="570D2D6C"/>
    <w:rsid w:val="578EFD5B"/>
    <w:rsid w:val="59B83CBA"/>
    <w:rsid w:val="66686D6D"/>
    <w:rsid w:val="6B59B378"/>
    <w:rsid w:val="7151080D"/>
    <w:rsid w:val="724A2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98B21"/>
  <w15:chartTrackingRefBased/>
  <w15:docId w15:val="{17122235-0C28-4042-BFEC-92C82FBAD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4BD8"/>
    <w:pPr>
      <w:spacing w:after="0" w:line="264" w:lineRule="auto"/>
    </w:pPr>
    <w:rPr>
      <w:rFonts w:ascii="Garamond" w:hAnsi="Garamond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5A8E"/>
    <w:pPr>
      <w:spacing w:before="120"/>
      <w:outlineLvl w:val="0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C5A8E"/>
    <w:pPr>
      <w:spacing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5A8E"/>
    <w:rPr>
      <w:rFonts w:ascii="Garamond" w:eastAsiaTheme="majorEastAsia" w:hAnsi="Garamond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5A8E"/>
    <w:pPr>
      <w:numPr>
        <w:ilvl w:val="1"/>
      </w:numPr>
      <w:spacing w:after="12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C5A8E"/>
    <w:rPr>
      <w:rFonts w:ascii="Garamond" w:eastAsiaTheme="minorEastAsia" w:hAnsi="Garamond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3B3C67"/>
    <w:rPr>
      <w:color w:val="538135" w:themeColor="accent6" w:themeShade="B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C5A8E"/>
    <w:rPr>
      <w:rFonts w:ascii="Garamond" w:hAnsi="Garamond"/>
      <w:sz w:val="26"/>
      <w:szCs w:val="26"/>
    </w:rPr>
  </w:style>
  <w:style w:type="paragraph" w:styleId="ListParagraph">
    <w:name w:val="List Paragraph"/>
    <w:basedOn w:val="Normal"/>
    <w:uiPriority w:val="34"/>
    <w:qFormat/>
    <w:rsid w:val="00A51FFA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B216C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0E2F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6D4B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12F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apple-converted-space">
    <w:name w:val="apple-converted-space"/>
    <w:basedOn w:val="DefaultParagraphFont"/>
    <w:rsid w:val="00405F8F"/>
  </w:style>
  <w:style w:type="character" w:styleId="Emphasis">
    <w:name w:val="Emphasis"/>
    <w:basedOn w:val="DefaultParagraphFont"/>
    <w:uiPriority w:val="20"/>
    <w:qFormat/>
    <w:rsid w:val="00405F8F"/>
    <w:rPr>
      <w:i/>
      <w:iCs/>
    </w:rPr>
  </w:style>
  <w:style w:type="character" w:styleId="Strong">
    <w:name w:val="Strong"/>
    <w:basedOn w:val="DefaultParagraphFont"/>
    <w:uiPriority w:val="22"/>
    <w:qFormat/>
    <w:rsid w:val="00405F8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15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933296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6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9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057551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AF08D74CA8994690084ED5789532D0" ma:contentTypeVersion="19" ma:contentTypeDescription="Create a new document." ma:contentTypeScope="" ma:versionID="af9e5c82618ff70fc8efece0c1bf1c29">
  <xsd:schema xmlns:xsd="http://www.w3.org/2001/XMLSchema" xmlns:xs="http://www.w3.org/2001/XMLSchema" xmlns:p="http://schemas.microsoft.com/office/2006/metadata/properties" xmlns:ns2="9c5bf38a-4488-4be4-b211-4cdefd00800a" xmlns:ns3="717003ee-d365-4e34-ad73-54a908d8ac52" targetNamespace="http://schemas.microsoft.com/office/2006/metadata/properties" ma:root="true" ma:fieldsID="4d2361f92a44aedf3736cc2fd9c95fda" ns2:_="" ns3:_="">
    <xsd:import namespace="9c5bf38a-4488-4be4-b211-4cdefd00800a"/>
    <xsd:import namespace="717003ee-d365-4e34-ad73-54a908d8ac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LengthInSeconds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5bf38a-4488-4be4-b211-4cdefd00800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7c938953-97e4-410d-a323-cf9a87d86f1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6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7003ee-d365-4e34-ad73-54a908d8ac52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b967ac04-96ef-45f1-aaef-633e47b2809c}" ma:internalName="TaxCatchAll" ma:showField="CatchAllData" ma:web="717003ee-d365-4e34-ad73-54a908d8ac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17003ee-d365-4e34-ad73-54a908d8ac52" xsi:nil="true"/>
    <lcf76f155ced4ddcb4097134ff3c332f xmlns="9c5bf38a-4488-4be4-b211-4cdefd00800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FFFB584-E076-4DA0-B149-5DE4325EDC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5bf38a-4488-4be4-b211-4cdefd00800a"/>
    <ds:schemaRef ds:uri="717003ee-d365-4e34-ad73-54a908d8ac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D22452A-F55B-4DBA-B46B-2552040944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3CF3C2-F020-4D0E-A271-BEEB6BC3E748}">
  <ds:schemaRefs>
    <ds:schemaRef ds:uri="http://schemas.microsoft.com/office/2006/metadata/properties"/>
    <ds:schemaRef ds:uri="http://schemas.microsoft.com/office/infopath/2007/PartnerControls"/>
    <ds:schemaRef ds:uri="717003ee-d365-4e34-ad73-54a908d8ac52"/>
    <ds:schemaRef ds:uri="9c5bf38a-4488-4be4-b211-4cdefd00800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453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Zurich, Department of Geography</Company>
  <LinksUpToDate>false</LinksUpToDate>
  <CharactersWithSpaces>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Meredith Schuman</dc:creator>
  <cp:keywords/>
  <dc:description/>
  <cp:lastModifiedBy>Hassan Haydar</cp:lastModifiedBy>
  <cp:revision>2</cp:revision>
  <cp:lastPrinted>2025-11-30T18:29:00Z</cp:lastPrinted>
  <dcterms:created xsi:type="dcterms:W3CDTF">2025-12-02T12:32:00Z</dcterms:created>
  <dcterms:modified xsi:type="dcterms:W3CDTF">2025-12-02T12:32:00Z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0x010100E3AF08D74CA8994690084ED5789532D0</vt:lpwstr>
  </property>
  <property fmtid="{D5CDD505-2E9C-101B-9397-08002B2CF9AE}" pid="3" name="MediaServiceImageTags">
    <vt:lpwstr/>
  </property>
</Properties>
</file>